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C86" w:rsidRPr="008B0C86" w:rsidRDefault="008B0C86" w:rsidP="008B0C86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Новыми правилами по ОТ регламентируется не просто обязательность применения мер безопасности, а на основании результатов проведенной оценки профессиональных рисков. С принятием новых правил в 2021 году забот у кадровиков и инженеров по ОТ только прибавилось. Рассмотрим, что надо сделать в первую очередь.</w:t>
      </w:r>
    </w:p>
    <w:tbl>
      <w:tblPr>
        <w:tblW w:w="14496" w:type="dxa"/>
        <w:shd w:val="clear" w:color="auto" w:fill="BADCF7"/>
        <w:tblCellMar>
          <w:top w:w="240" w:type="dxa"/>
          <w:left w:w="240" w:type="dxa"/>
          <w:bottom w:w="240" w:type="dxa"/>
          <w:right w:w="240" w:type="dxa"/>
        </w:tblCellMar>
        <w:tblLook w:val="04A0" w:firstRow="1" w:lastRow="0" w:firstColumn="1" w:lastColumn="0" w:noHBand="0" w:noVBand="1"/>
      </w:tblPr>
      <w:tblGrid>
        <w:gridCol w:w="14496"/>
      </w:tblGrid>
      <w:tr w:rsidR="008B0C86" w:rsidRPr="008B0C86" w:rsidTr="008B0C86">
        <w:tc>
          <w:tcPr>
            <w:tcW w:w="14496" w:type="dxa"/>
            <w:shd w:val="clear" w:color="auto" w:fill="BADCF7"/>
            <w:tcMar>
              <w:top w:w="300" w:type="dxa"/>
              <w:left w:w="300" w:type="dxa"/>
              <w:bottom w:w="300" w:type="dxa"/>
              <w:right w:w="300" w:type="dxa"/>
            </w:tcMar>
            <w:vAlign w:val="center"/>
            <w:hideMark/>
          </w:tcPr>
          <w:p w:rsidR="008B0C86" w:rsidRPr="008B0C86" w:rsidRDefault="008B0C86" w:rsidP="008B0C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8B0C86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Обзор изменений в охране труда за 2021 год — что теперь надо учитывать при приеме на работу? О новом порядке обучения охране труда узнайте на </w:t>
            </w:r>
            <w:proofErr w:type="spellStart"/>
            <w:r w:rsidRPr="008B0C86">
              <w:rPr>
                <w:rFonts w:ascii="Arial" w:eastAsia="Times New Roman" w:hAnsi="Arial" w:cs="Arial"/>
                <w:color w:val="E03E2D"/>
                <w:sz w:val="27"/>
                <w:szCs w:val="27"/>
                <w:lang w:eastAsia="ru-RU"/>
              </w:rPr>
              <w:fldChar w:fldCharType="begin"/>
            </w:r>
            <w:r w:rsidRPr="008B0C86">
              <w:rPr>
                <w:rFonts w:ascii="Arial" w:eastAsia="Times New Roman" w:hAnsi="Arial" w:cs="Arial"/>
                <w:color w:val="E03E2D"/>
                <w:sz w:val="27"/>
                <w:szCs w:val="27"/>
                <w:lang w:eastAsia="ru-RU"/>
              </w:rPr>
              <w:instrText xml:space="preserve"> HYPERLINK "https://webinars.profkadrovik.ru/?utm_source=profkadrovik.ru&amp;utm_medium=refer&amp;utm_campaign=article_distant/" \l "!/tproduct/257611968-1618236593452" \t "_blank" </w:instrText>
            </w:r>
            <w:r w:rsidRPr="008B0C86">
              <w:rPr>
                <w:rFonts w:ascii="Arial" w:eastAsia="Times New Roman" w:hAnsi="Arial" w:cs="Arial"/>
                <w:color w:val="E03E2D"/>
                <w:sz w:val="27"/>
                <w:szCs w:val="27"/>
                <w:lang w:eastAsia="ru-RU"/>
              </w:rPr>
              <w:fldChar w:fldCharType="separate"/>
            </w:r>
            <w:r w:rsidRPr="008B0C86">
              <w:rPr>
                <w:rFonts w:ascii="Arial" w:eastAsia="Times New Roman" w:hAnsi="Arial" w:cs="Arial"/>
                <w:color w:val="E03E2D"/>
                <w:sz w:val="27"/>
                <w:szCs w:val="27"/>
                <w:lang w:eastAsia="ru-RU"/>
              </w:rPr>
              <w:t>вебинаре</w:t>
            </w:r>
            <w:proofErr w:type="spellEnd"/>
            <w:r w:rsidRPr="008B0C86">
              <w:rPr>
                <w:rFonts w:ascii="Arial" w:eastAsia="Times New Roman" w:hAnsi="Arial" w:cs="Arial"/>
                <w:color w:val="E03E2D"/>
                <w:sz w:val="27"/>
                <w:szCs w:val="27"/>
                <w:lang w:eastAsia="ru-RU"/>
              </w:rPr>
              <w:t> </w:t>
            </w:r>
            <w:r w:rsidRPr="008B0C86">
              <w:rPr>
                <w:rFonts w:ascii="Arial" w:eastAsia="Times New Roman" w:hAnsi="Arial" w:cs="Arial"/>
                <w:color w:val="E03E2D"/>
                <w:sz w:val="27"/>
                <w:szCs w:val="27"/>
                <w:lang w:eastAsia="ru-RU"/>
              </w:rPr>
              <w:fldChar w:fldCharType="end"/>
            </w:r>
            <w:r w:rsidRPr="008B0C86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19 октября.</w:t>
            </w:r>
          </w:p>
        </w:tc>
      </w:tr>
    </w:tbl>
    <w:p w:rsidR="008B0C86" w:rsidRPr="008B0C86" w:rsidRDefault="008B0C86" w:rsidP="008B0C86">
      <w:pPr>
        <w:shd w:val="clear" w:color="auto" w:fill="F2F2F2"/>
        <w:spacing w:line="240" w:lineRule="auto"/>
        <w:rPr>
          <w:rFonts w:ascii="Arial" w:eastAsia="Times New Roman" w:hAnsi="Arial" w:cs="Arial"/>
          <w:color w:val="222222"/>
          <w:sz w:val="32"/>
          <w:szCs w:val="32"/>
          <w:lang w:eastAsia="ru-RU"/>
        </w:rPr>
      </w:pPr>
      <w:r w:rsidRPr="008B0C86">
        <w:rPr>
          <w:rFonts w:ascii="Arial" w:eastAsia="Times New Roman" w:hAnsi="Arial" w:cs="Arial"/>
          <w:color w:val="222222"/>
          <w:sz w:val="32"/>
          <w:szCs w:val="32"/>
          <w:lang w:eastAsia="ru-RU"/>
        </w:rPr>
        <w:t>Содержание</w:t>
      </w:r>
    </w:p>
    <w:p w:rsidR="008B0C86" w:rsidRPr="008B0C86" w:rsidRDefault="008B0C86" w:rsidP="008B0C86">
      <w:pPr>
        <w:numPr>
          <w:ilvl w:val="0"/>
          <w:numId w:val="1"/>
        </w:numPr>
        <w:shd w:val="clear" w:color="auto" w:fill="F2F2F2"/>
        <w:spacing w:before="100" w:beforeAutospacing="1" w:after="120" w:line="360" w:lineRule="atLeast"/>
        <w:ind w:left="1320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hyperlink r:id="rId5" w:anchor="ob-obyazannosti-rabotodatelya-provodit-otsenku-professionalnykh-riskov" w:history="1">
        <w:r w:rsidRPr="008B0C86">
          <w:rPr>
            <w:rFonts w:ascii="Arial" w:eastAsia="Times New Roman" w:hAnsi="Arial" w:cs="Arial"/>
            <w:color w:val="000000"/>
            <w:sz w:val="27"/>
            <w:szCs w:val="27"/>
            <w:lang w:eastAsia="ru-RU"/>
          </w:rPr>
          <w:t>Об обязанности работодателя проводить оценку профессиональных рисков</w:t>
        </w:r>
      </w:hyperlink>
    </w:p>
    <w:p w:rsidR="008B0C86" w:rsidRPr="008B0C86" w:rsidRDefault="008B0C86" w:rsidP="008B0C86">
      <w:pPr>
        <w:numPr>
          <w:ilvl w:val="0"/>
          <w:numId w:val="1"/>
        </w:numPr>
        <w:shd w:val="clear" w:color="auto" w:fill="F2F2F2"/>
        <w:spacing w:before="100" w:beforeAutospacing="1" w:after="120" w:line="360" w:lineRule="atLeast"/>
        <w:ind w:left="1320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hyperlink r:id="rId6" w:anchor="otsenka-profriskav-i-lna" w:history="1">
        <w:r w:rsidRPr="008B0C86">
          <w:rPr>
            <w:rFonts w:ascii="Arial" w:eastAsia="Times New Roman" w:hAnsi="Arial" w:cs="Arial"/>
            <w:color w:val="000000"/>
            <w:sz w:val="27"/>
            <w:szCs w:val="27"/>
            <w:lang w:eastAsia="ru-RU"/>
          </w:rPr>
          <w:t xml:space="preserve">Оценка </w:t>
        </w:r>
        <w:proofErr w:type="spellStart"/>
        <w:r w:rsidRPr="008B0C86">
          <w:rPr>
            <w:rFonts w:ascii="Arial" w:eastAsia="Times New Roman" w:hAnsi="Arial" w:cs="Arial"/>
            <w:color w:val="000000"/>
            <w:sz w:val="27"/>
            <w:szCs w:val="27"/>
            <w:lang w:eastAsia="ru-RU"/>
          </w:rPr>
          <w:t>профрискав</w:t>
        </w:r>
        <w:proofErr w:type="spellEnd"/>
        <w:r w:rsidRPr="008B0C86">
          <w:rPr>
            <w:rFonts w:ascii="Arial" w:eastAsia="Times New Roman" w:hAnsi="Arial" w:cs="Arial"/>
            <w:color w:val="000000"/>
            <w:sz w:val="27"/>
            <w:szCs w:val="27"/>
            <w:lang w:eastAsia="ru-RU"/>
          </w:rPr>
          <w:t xml:space="preserve"> и ЛНА</w:t>
        </w:r>
      </w:hyperlink>
    </w:p>
    <w:p w:rsidR="008B0C86" w:rsidRPr="008B0C86" w:rsidRDefault="008B0C86" w:rsidP="008B0C86">
      <w:pPr>
        <w:numPr>
          <w:ilvl w:val="0"/>
          <w:numId w:val="1"/>
        </w:numPr>
        <w:shd w:val="clear" w:color="auto" w:fill="F2F2F2"/>
        <w:spacing w:before="100" w:beforeAutospacing="1" w:after="120" w:line="360" w:lineRule="atLeast"/>
        <w:ind w:left="1320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hyperlink r:id="rId7" w:anchor="o-provedenii-otsenki-riskov-v-organizatsii" w:history="1">
        <w:r w:rsidRPr="008B0C86">
          <w:rPr>
            <w:rFonts w:ascii="Arial" w:eastAsia="Times New Roman" w:hAnsi="Arial" w:cs="Arial"/>
            <w:color w:val="000000"/>
            <w:sz w:val="27"/>
            <w:szCs w:val="27"/>
            <w:lang w:eastAsia="ru-RU"/>
          </w:rPr>
          <w:t>О проведении оценки рисков в организации</w:t>
        </w:r>
      </w:hyperlink>
    </w:p>
    <w:p w:rsidR="008B0C86" w:rsidRPr="008B0C86" w:rsidRDefault="008B0C86" w:rsidP="008B0C86">
      <w:pPr>
        <w:numPr>
          <w:ilvl w:val="0"/>
          <w:numId w:val="1"/>
        </w:numPr>
        <w:shd w:val="clear" w:color="auto" w:fill="F2F2F2"/>
        <w:spacing w:before="100" w:beforeAutospacing="1" w:after="120" w:line="360" w:lineRule="atLeast"/>
        <w:ind w:left="1320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hyperlink r:id="rId8" w:anchor="chem-rukovodstvovatsya-pri-provedenii-otsenki-riskov" w:history="1">
        <w:r w:rsidRPr="008B0C86">
          <w:rPr>
            <w:rFonts w:ascii="Arial" w:eastAsia="Times New Roman" w:hAnsi="Arial" w:cs="Arial"/>
            <w:color w:val="000000"/>
            <w:sz w:val="27"/>
            <w:szCs w:val="27"/>
            <w:lang w:eastAsia="ru-RU"/>
          </w:rPr>
          <w:t>Чем руководствоваться при проведении оценки рисков</w:t>
        </w:r>
      </w:hyperlink>
    </w:p>
    <w:p w:rsidR="008B0C86" w:rsidRPr="008B0C86" w:rsidRDefault="008B0C86" w:rsidP="008B0C86">
      <w:pPr>
        <w:numPr>
          <w:ilvl w:val="0"/>
          <w:numId w:val="1"/>
        </w:numPr>
        <w:shd w:val="clear" w:color="auto" w:fill="F2F2F2"/>
        <w:spacing w:before="100" w:beforeAutospacing="1" w:line="360" w:lineRule="atLeast"/>
        <w:ind w:left="1320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hyperlink r:id="rId9" w:anchor="shtrafy-za-otsutstvie-otsenki-professionalnykh-riskov" w:history="1">
        <w:r w:rsidRPr="008B0C86">
          <w:rPr>
            <w:rFonts w:ascii="Arial" w:eastAsia="Times New Roman" w:hAnsi="Arial" w:cs="Arial"/>
            <w:color w:val="000000"/>
            <w:sz w:val="27"/>
            <w:szCs w:val="27"/>
            <w:lang w:eastAsia="ru-RU"/>
          </w:rPr>
          <w:t>Штрафы за отсутствие оценки профессиональных рисков</w:t>
        </w:r>
      </w:hyperlink>
    </w:p>
    <w:p w:rsidR="008B0C86" w:rsidRPr="008B0C86" w:rsidRDefault="008B0C86" w:rsidP="008B0C86">
      <w:pPr>
        <w:shd w:val="clear" w:color="auto" w:fill="FFFFFF"/>
        <w:spacing w:before="675" w:after="450" w:line="240" w:lineRule="auto"/>
        <w:outlineLvl w:val="1"/>
        <w:rPr>
          <w:rFonts w:ascii="Arial" w:eastAsia="Times New Roman" w:hAnsi="Arial" w:cs="Arial"/>
          <w:color w:val="222222"/>
          <w:sz w:val="53"/>
          <w:szCs w:val="53"/>
          <w:lang w:eastAsia="ru-RU"/>
        </w:rPr>
      </w:pPr>
      <w:bookmarkStart w:id="0" w:name="ob-obyazannosti-rabotodatelya-provodit-o"/>
      <w:bookmarkEnd w:id="0"/>
      <w:r w:rsidRPr="008B0C86">
        <w:rPr>
          <w:rFonts w:ascii="Arial" w:eastAsia="Times New Roman" w:hAnsi="Arial" w:cs="Arial"/>
          <w:color w:val="222222"/>
          <w:sz w:val="53"/>
          <w:szCs w:val="53"/>
          <w:lang w:eastAsia="ru-RU"/>
        </w:rPr>
        <w:t>Об обязанности работодателя проводить оценку профессиональных рисков</w:t>
      </w:r>
    </w:p>
    <w:p w:rsidR="008B0C86" w:rsidRPr="008B0C86" w:rsidRDefault="008B0C86" w:rsidP="008B0C86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Несмотря на то, что в законодательстве прямо не предусматривается оценка </w:t>
      </w:r>
      <w:proofErr w:type="spellStart"/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профрисков</w:t>
      </w:r>
      <w:proofErr w:type="spellEnd"/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работодателем, </w:t>
      </w:r>
      <w:hyperlink r:id="rId10" w:tgtFrame="_blank" w:history="1">
        <w:r w:rsidRPr="008B0C86">
          <w:rPr>
            <w:rFonts w:ascii="Arial" w:eastAsia="Times New Roman" w:hAnsi="Arial" w:cs="Arial"/>
            <w:color w:val="E03E2D"/>
            <w:sz w:val="27"/>
            <w:szCs w:val="27"/>
            <w:lang w:eastAsia="ru-RU"/>
          </w:rPr>
          <w:t>Минтруд в письме от 16 февраля 2021 г. № 15-1/ООГ-357</w:t>
        </w:r>
      </w:hyperlink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предупреждает об обязанности ее проведения в соответствии с требованиями Типового положения о системе управления охраной труда (Приказ Минтруда от 19 августа 2016 г. N 438н).</w:t>
      </w:r>
    </w:p>
    <w:p w:rsidR="008B0C86" w:rsidRPr="008B0C86" w:rsidRDefault="008B0C86" w:rsidP="008B0C86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8B0C86">
        <w:rPr>
          <w:rFonts w:ascii="Arial" w:eastAsia="Times New Roman" w:hAnsi="Arial" w:cs="Arial"/>
          <w:b/>
          <w:bCs/>
          <w:i/>
          <w:iCs/>
          <w:color w:val="222222"/>
          <w:sz w:val="27"/>
          <w:szCs w:val="27"/>
          <w:lang w:eastAsia="ru-RU"/>
        </w:rPr>
        <w:t>Скачайте Приказ и Типовое положение о системе управления охраной труда в конце статьи.</w:t>
      </w:r>
    </w:p>
    <w:p w:rsidR="008B0C86" w:rsidRPr="008B0C86" w:rsidRDefault="008B0C86" w:rsidP="008B0C86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Также Минтруд в этом письме напоминает, что данный вопрос будет урегулирован в будет в рамках изменений ТК в области охраны труда. Таким образом, обязанность работодателя проводить оценку профессиональных рисков не вызывает сомнений.</w:t>
      </w:r>
    </w:p>
    <w:tbl>
      <w:tblPr>
        <w:tblW w:w="14496" w:type="dxa"/>
        <w:tblBorders>
          <w:left w:val="single" w:sz="24" w:space="0" w:color="EC1C24"/>
        </w:tblBorders>
        <w:shd w:val="clear" w:color="auto" w:fill="EDF0F3"/>
        <w:tblCellMar>
          <w:top w:w="240" w:type="dxa"/>
          <w:left w:w="240" w:type="dxa"/>
          <w:bottom w:w="240" w:type="dxa"/>
          <w:right w:w="240" w:type="dxa"/>
        </w:tblCellMar>
        <w:tblLook w:val="04A0" w:firstRow="1" w:lastRow="0" w:firstColumn="1" w:lastColumn="0" w:noHBand="0" w:noVBand="1"/>
      </w:tblPr>
      <w:tblGrid>
        <w:gridCol w:w="14496"/>
      </w:tblGrid>
      <w:tr w:rsidR="008B0C86" w:rsidRPr="008B0C86" w:rsidTr="008B0C86">
        <w:tc>
          <w:tcPr>
            <w:tcW w:w="14478" w:type="dxa"/>
            <w:shd w:val="clear" w:color="auto" w:fill="EDF0F3"/>
            <w:tcMar>
              <w:top w:w="300" w:type="dxa"/>
              <w:left w:w="300" w:type="dxa"/>
              <w:bottom w:w="300" w:type="dxa"/>
              <w:right w:w="300" w:type="dxa"/>
            </w:tcMar>
            <w:vAlign w:val="center"/>
            <w:hideMark/>
          </w:tcPr>
          <w:p w:rsidR="008B0C86" w:rsidRPr="008B0C86" w:rsidRDefault="008B0C86" w:rsidP="008B0C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8B0C86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lang w:eastAsia="ru-RU"/>
              </w:rPr>
              <w:lastRenderedPageBreak/>
              <w:t>Важно</w:t>
            </w:r>
          </w:p>
          <w:p w:rsidR="008B0C86" w:rsidRPr="008B0C86" w:rsidRDefault="008B0C86" w:rsidP="008B0C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8B0C86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 </w:t>
            </w:r>
          </w:p>
          <w:p w:rsidR="008B0C86" w:rsidRPr="008B0C86" w:rsidRDefault="008B0C86" w:rsidP="008B0C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8B0C86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 xml:space="preserve">Работодатель не просто должен оценивать </w:t>
            </w:r>
            <w:proofErr w:type="spellStart"/>
            <w:r w:rsidRPr="008B0C86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профриски</w:t>
            </w:r>
            <w:proofErr w:type="spellEnd"/>
            <w:r w:rsidRPr="008B0C86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, но и принимать конкретные действия на основании результатов оценки.</w:t>
            </w:r>
          </w:p>
        </w:tc>
      </w:tr>
    </w:tbl>
    <w:p w:rsidR="008B0C86" w:rsidRPr="008B0C86" w:rsidRDefault="008B0C86" w:rsidP="008B0C86">
      <w:pPr>
        <w:shd w:val="clear" w:color="auto" w:fill="FFFFFF"/>
        <w:spacing w:before="675" w:after="450" w:line="240" w:lineRule="auto"/>
        <w:outlineLvl w:val="1"/>
        <w:rPr>
          <w:rFonts w:ascii="Arial" w:eastAsia="Times New Roman" w:hAnsi="Arial" w:cs="Arial"/>
          <w:color w:val="222222"/>
          <w:sz w:val="53"/>
          <w:szCs w:val="53"/>
          <w:lang w:eastAsia="ru-RU"/>
        </w:rPr>
      </w:pPr>
      <w:bookmarkStart w:id="1" w:name="otsenka-profriskav-i-lna"/>
      <w:bookmarkEnd w:id="1"/>
      <w:r w:rsidRPr="008B0C86">
        <w:rPr>
          <w:rFonts w:ascii="Arial" w:eastAsia="Times New Roman" w:hAnsi="Arial" w:cs="Arial"/>
          <w:color w:val="222222"/>
          <w:sz w:val="53"/>
          <w:szCs w:val="53"/>
          <w:lang w:eastAsia="ru-RU"/>
        </w:rPr>
        <w:t xml:space="preserve">Оценка </w:t>
      </w:r>
      <w:proofErr w:type="spellStart"/>
      <w:r w:rsidRPr="008B0C86">
        <w:rPr>
          <w:rFonts w:ascii="Arial" w:eastAsia="Times New Roman" w:hAnsi="Arial" w:cs="Arial"/>
          <w:color w:val="222222"/>
          <w:sz w:val="53"/>
          <w:szCs w:val="53"/>
          <w:lang w:eastAsia="ru-RU"/>
        </w:rPr>
        <w:t>профрискав</w:t>
      </w:r>
      <w:proofErr w:type="spellEnd"/>
      <w:r w:rsidRPr="008B0C86">
        <w:rPr>
          <w:rFonts w:ascii="Arial" w:eastAsia="Times New Roman" w:hAnsi="Arial" w:cs="Arial"/>
          <w:color w:val="222222"/>
          <w:sz w:val="53"/>
          <w:szCs w:val="53"/>
          <w:lang w:eastAsia="ru-RU"/>
        </w:rPr>
        <w:t xml:space="preserve"> и ЛНА</w:t>
      </w:r>
    </w:p>
    <w:p w:rsidR="008B0C86" w:rsidRPr="008B0C86" w:rsidRDefault="008B0C86" w:rsidP="008B0C86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Дополните Положение о системе управления охраной труда (СУОТ):</w:t>
      </w:r>
    </w:p>
    <w:p w:rsidR="008B0C86" w:rsidRPr="008B0C86" w:rsidRDefault="008B0C86" w:rsidP="008B0C86">
      <w:pPr>
        <w:numPr>
          <w:ilvl w:val="0"/>
          <w:numId w:val="2"/>
        </w:numPr>
        <w:shd w:val="clear" w:color="auto" w:fill="FFFFFF"/>
        <w:spacing w:before="100" w:beforeAutospacing="1" w:after="120" w:line="360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разделом о том, как проводится процедура оценки и управления </w:t>
      </w:r>
      <w:proofErr w:type="spellStart"/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проф</w:t>
      </w:r>
      <w:proofErr w:type="spellEnd"/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рисками;</w:t>
      </w:r>
    </w:p>
    <w:p w:rsidR="008B0C86" w:rsidRPr="008B0C86" w:rsidRDefault="008B0C86" w:rsidP="008B0C86">
      <w:pPr>
        <w:numPr>
          <w:ilvl w:val="0"/>
          <w:numId w:val="2"/>
        </w:numPr>
        <w:shd w:val="clear" w:color="auto" w:fill="FFFFFF"/>
        <w:spacing w:before="100" w:beforeAutospacing="1" w:after="120" w:line="360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каким образом работник получает информацию о степени </w:t>
      </w:r>
      <w:proofErr w:type="spellStart"/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профриска</w:t>
      </w:r>
      <w:proofErr w:type="spellEnd"/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на его рабочем месте — п. 8 Типового положения.</w:t>
      </w:r>
    </w:p>
    <w:p w:rsidR="008B0C86" w:rsidRPr="008B0C86" w:rsidRDefault="008B0C86" w:rsidP="008B0C86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Проведите оценку профессиональных рисков. Уведомите работников об уровне рисков на его месте работы. Это можно сделать несколькими способами, на основании п. 41 и 42 Типового положения — любым удобным:</w:t>
      </w:r>
    </w:p>
    <w:p w:rsidR="008B0C86" w:rsidRPr="008B0C86" w:rsidRDefault="008B0C86" w:rsidP="008B0C86">
      <w:pPr>
        <w:numPr>
          <w:ilvl w:val="0"/>
          <w:numId w:val="3"/>
        </w:numPr>
        <w:shd w:val="clear" w:color="auto" w:fill="FFFFFF"/>
        <w:spacing w:before="100" w:beforeAutospacing="1" w:after="120" w:line="360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вписать уровень профессиональных рисков в трудовой договор или </w:t>
      </w:r>
      <w:proofErr w:type="spellStart"/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допсоглашение</w:t>
      </w:r>
      <w:proofErr w:type="spellEnd"/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;</w:t>
      </w:r>
    </w:p>
    <w:p w:rsidR="008B0C86" w:rsidRPr="008B0C86" w:rsidRDefault="008B0C86" w:rsidP="008B0C86">
      <w:pPr>
        <w:numPr>
          <w:ilvl w:val="0"/>
          <w:numId w:val="3"/>
        </w:numPr>
        <w:shd w:val="clear" w:color="auto" w:fill="FFFFFF"/>
        <w:spacing w:before="100" w:beforeAutospacing="1" w:after="120" w:line="360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вручить работнику под роспись уведомление об уровне </w:t>
      </w:r>
      <w:proofErr w:type="spellStart"/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профрисков</w:t>
      </w:r>
      <w:proofErr w:type="spellEnd"/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на рабочем месте;</w:t>
      </w:r>
    </w:p>
    <w:p w:rsidR="008B0C86" w:rsidRPr="008B0C86" w:rsidRDefault="008B0C86" w:rsidP="008B0C86">
      <w:pPr>
        <w:numPr>
          <w:ilvl w:val="0"/>
          <w:numId w:val="3"/>
        </w:numPr>
        <w:shd w:val="clear" w:color="auto" w:fill="FFFFFF"/>
        <w:spacing w:before="100" w:beforeAutospacing="1" w:after="120" w:line="360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ознакомить работника с картой оценки </w:t>
      </w:r>
      <w:proofErr w:type="spellStart"/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профрисков</w:t>
      </w:r>
      <w:proofErr w:type="spellEnd"/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, которая должна быть разработана по каждой должности.</w:t>
      </w:r>
    </w:p>
    <w:p w:rsidR="008B0C86" w:rsidRPr="008B0C86" w:rsidRDefault="008B0C86" w:rsidP="008B0C86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Гарантии и компенсации, если требуются при повышенном уровне рисков, пропишите в ЛНА. Ознакомьте работников под подпись — </w:t>
      </w:r>
      <w:hyperlink r:id="rId11" w:tgtFrame="_blank" w:history="1">
        <w:r w:rsidRPr="008B0C86">
          <w:rPr>
            <w:rFonts w:ascii="Arial" w:eastAsia="Times New Roman" w:hAnsi="Arial" w:cs="Arial"/>
            <w:color w:val="E03E2D"/>
            <w:sz w:val="27"/>
            <w:szCs w:val="27"/>
            <w:lang w:eastAsia="ru-RU"/>
          </w:rPr>
          <w:t>ст. 22 ТК.</w:t>
        </w:r>
      </w:hyperlink>
    </w:p>
    <w:p w:rsidR="008B0C86" w:rsidRPr="008B0C86" w:rsidRDefault="008B0C86" w:rsidP="008B0C86">
      <w:pPr>
        <w:shd w:val="clear" w:color="auto" w:fill="FFFFFF"/>
        <w:spacing w:before="675" w:after="450" w:line="240" w:lineRule="auto"/>
        <w:outlineLvl w:val="1"/>
        <w:rPr>
          <w:rFonts w:ascii="Arial" w:eastAsia="Times New Roman" w:hAnsi="Arial" w:cs="Arial"/>
          <w:color w:val="222222"/>
          <w:sz w:val="53"/>
          <w:szCs w:val="53"/>
          <w:lang w:eastAsia="ru-RU"/>
        </w:rPr>
      </w:pPr>
      <w:bookmarkStart w:id="2" w:name="o-provedenii-otsenki-riskov-v-organizats"/>
      <w:bookmarkEnd w:id="2"/>
      <w:r w:rsidRPr="008B0C86">
        <w:rPr>
          <w:rFonts w:ascii="Arial" w:eastAsia="Times New Roman" w:hAnsi="Arial" w:cs="Arial"/>
          <w:color w:val="222222"/>
          <w:sz w:val="53"/>
          <w:szCs w:val="53"/>
          <w:lang w:eastAsia="ru-RU"/>
        </w:rPr>
        <w:t>О проведении оценки рисков в организации</w:t>
      </w:r>
    </w:p>
    <w:p w:rsidR="008B0C86" w:rsidRPr="008B0C86" w:rsidRDefault="008B0C86" w:rsidP="008B0C86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Система управления профессиональными рисками — значимая часть СУОТ, управлять </w:t>
      </w:r>
      <w:proofErr w:type="spellStart"/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профрисками</w:t>
      </w:r>
      <w:proofErr w:type="spellEnd"/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, значит обеспечивать безопасность и улучшение условий труда в компании.</w:t>
      </w:r>
    </w:p>
    <w:p w:rsidR="008B0C86" w:rsidRPr="008B0C86" w:rsidRDefault="008B0C86" w:rsidP="008B0C86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 xml:space="preserve">Каким образом выявить и дать оценку </w:t>
      </w:r>
      <w:proofErr w:type="spellStart"/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профрискам</w:t>
      </w:r>
      <w:proofErr w:type="spellEnd"/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, законодательно не обусловлено.</w:t>
      </w:r>
    </w:p>
    <w:tbl>
      <w:tblPr>
        <w:tblW w:w="14496" w:type="dxa"/>
        <w:tblBorders>
          <w:top w:val="single" w:sz="6" w:space="0" w:color="EC1C24"/>
          <w:left w:val="single" w:sz="6" w:space="0" w:color="EC1C24"/>
          <w:bottom w:val="single" w:sz="6" w:space="0" w:color="EC1C24"/>
          <w:right w:val="single" w:sz="6" w:space="0" w:color="EC1C24"/>
        </w:tblBorders>
        <w:shd w:val="clear" w:color="auto" w:fill="FFFFFF"/>
        <w:tblCellMar>
          <w:top w:w="240" w:type="dxa"/>
          <w:left w:w="240" w:type="dxa"/>
          <w:bottom w:w="240" w:type="dxa"/>
          <w:right w:w="240" w:type="dxa"/>
        </w:tblCellMar>
        <w:tblLook w:val="04A0" w:firstRow="1" w:lastRow="0" w:firstColumn="1" w:lastColumn="0" w:noHBand="0" w:noVBand="1"/>
      </w:tblPr>
      <w:tblGrid>
        <w:gridCol w:w="14496"/>
      </w:tblGrid>
      <w:tr w:rsidR="008B0C86" w:rsidRPr="008B0C86" w:rsidTr="008B0C8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0" w:type="dxa"/>
              <w:left w:w="300" w:type="dxa"/>
              <w:bottom w:w="300" w:type="dxa"/>
              <w:right w:w="300" w:type="dxa"/>
            </w:tcMar>
            <w:vAlign w:val="center"/>
            <w:hideMark/>
          </w:tcPr>
          <w:p w:rsidR="008B0C86" w:rsidRPr="008B0C86" w:rsidRDefault="008B0C86" w:rsidP="008B0C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8B0C86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 </w:t>
            </w:r>
          </w:p>
          <w:p w:rsidR="008B0C86" w:rsidRPr="008B0C86" w:rsidRDefault="008B0C86" w:rsidP="008B0C86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3"/>
                <w:szCs w:val="23"/>
                <w:lang w:eastAsia="ru-RU"/>
              </w:rPr>
            </w:pPr>
            <w:r w:rsidRPr="008B0C86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23"/>
                <w:szCs w:val="23"/>
                <w:lang w:eastAsia="ru-RU"/>
              </w:rPr>
              <w:t>П.36 Положения N 438н говорит, что работодатель самостоятельно выбирает методики оценки, также вправе разработать собственную методику.</w:t>
            </w:r>
          </w:p>
        </w:tc>
      </w:tr>
    </w:tbl>
    <w:p w:rsidR="008B0C86" w:rsidRPr="008B0C86" w:rsidRDefault="008B0C86" w:rsidP="008B0C86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Частично определить уровни рисков на рабочих местах помогут результаты СОУТ — п.15 ч.1 ст. 7 № 426-ФЗ от 28.12.2013. В ней вы найдете перечень факторов, негативно влияющих на жизнь и здоровье работников. Но </w:t>
      </w:r>
      <w:proofErr w:type="spellStart"/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спецоценка</w:t>
      </w:r>
      <w:proofErr w:type="spellEnd"/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не заменит процедуру оценки, в законе также нет алгоритма ее проведения.</w:t>
      </w:r>
    </w:p>
    <w:p w:rsidR="008B0C86" w:rsidRPr="008B0C86" w:rsidRDefault="008B0C86" w:rsidP="008B0C86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Примерный комплекс мероприятий при проведении оценки риска опасностей:</w:t>
      </w:r>
    </w:p>
    <w:p w:rsidR="008B0C86" w:rsidRPr="008B0C86" w:rsidRDefault="008B0C86" w:rsidP="008B0C86">
      <w:pPr>
        <w:numPr>
          <w:ilvl w:val="0"/>
          <w:numId w:val="4"/>
        </w:numPr>
        <w:shd w:val="clear" w:color="auto" w:fill="FFFFFF"/>
        <w:spacing w:before="60" w:after="60" w:line="360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Проанализировать потенциальные опасности каждого рабочего места.</w:t>
      </w:r>
    </w:p>
    <w:p w:rsidR="008B0C86" w:rsidRPr="008B0C86" w:rsidRDefault="008B0C86" w:rsidP="008B0C86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Выявить </w:t>
      </w:r>
      <w:proofErr w:type="spellStart"/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профриски</w:t>
      </w:r>
      <w:proofErr w:type="spellEnd"/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поможет обход рабочих мест — то есть в прямом смысле отследить, где работник ходит в течение дня, чем занимается, какие неприятности с ним могут случиться и все это записать.</w:t>
      </w:r>
    </w:p>
    <w:tbl>
      <w:tblPr>
        <w:tblW w:w="14496" w:type="dxa"/>
        <w:shd w:val="clear" w:color="auto" w:fill="EDF0F3"/>
        <w:tblCellMar>
          <w:top w:w="240" w:type="dxa"/>
          <w:left w:w="240" w:type="dxa"/>
          <w:bottom w:w="240" w:type="dxa"/>
          <w:right w:w="240" w:type="dxa"/>
        </w:tblCellMar>
        <w:tblLook w:val="04A0" w:firstRow="1" w:lastRow="0" w:firstColumn="1" w:lastColumn="0" w:noHBand="0" w:noVBand="1"/>
      </w:tblPr>
      <w:tblGrid>
        <w:gridCol w:w="14496"/>
      </w:tblGrid>
      <w:tr w:rsidR="008B0C86" w:rsidRPr="008B0C86" w:rsidTr="008B0C86">
        <w:tc>
          <w:tcPr>
            <w:tcW w:w="0" w:type="auto"/>
            <w:shd w:val="clear" w:color="auto" w:fill="EDF0F3"/>
            <w:tcMar>
              <w:top w:w="300" w:type="dxa"/>
              <w:left w:w="300" w:type="dxa"/>
              <w:bottom w:w="300" w:type="dxa"/>
              <w:right w:w="300" w:type="dxa"/>
            </w:tcMar>
            <w:vAlign w:val="center"/>
            <w:hideMark/>
          </w:tcPr>
          <w:p w:rsidR="008B0C86" w:rsidRPr="008B0C86" w:rsidRDefault="008B0C86" w:rsidP="008B0C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8B0C86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lang w:eastAsia="ru-RU"/>
              </w:rPr>
              <w:t>Совет</w:t>
            </w:r>
          </w:p>
          <w:p w:rsidR="008B0C86" w:rsidRPr="008B0C86" w:rsidRDefault="008B0C86" w:rsidP="008B0C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8B0C86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 </w:t>
            </w:r>
          </w:p>
          <w:p w:rsidR="008B0C86" w:rsidRPr="008B0C86" w:rsidRDefault="008B0C86" w:rsidP="008B0C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8B0C86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Хорошая идея — провести анкетирование, в котором сотрудники сами укажут возможные опасные ситуации на своем рабочем месте. Оценке риска труда поможет изучение статистики несчастных случаев на производстве и возникновения профзаболеваний.</w:t>
            </w:r>
          </w:p>
        </w:tc>
      </w:tr>
    </w:tbl>
    <w:p w:rsidR="008B0C86" w:rsidRPr="008B0C86" w:rsidRDefault="008B0C86" w:rsidP="008B0C86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Результатом подобного исследования состояния рабочих мест станет Реестр потенциальных рисков - смотрите образец.</w:t>
      </w:r>
    </w:p>
    <w:p w:rsidR="008B0C86" w:rsidRPr="008B0C86" w:rsidRDefault="008B0C86" w:rsidP="008B0C86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8B0C86">
        <w:rPr>
          <w:rFonts w:ascii="Arial" w:eastAsia="Times New Roman" w:hAnsi="Arial" w:cs="Arial"/>
          <w:noProof/>
          <w:color w:val="000000"/>
          <w:sz w:val="27"/>
          <w:szCs w:val="27"/>
          <w:lang w:eastAsia="ru-RU"/>
        </w:rPr>
        <w:lastRenderedPageBreak/>
        <w:drawing>
          <wp:inline distT="0" distB="0" distL="0" distR="0">
            <wp:extent cx="9753600" cy="5516880"/>
            <wp:effectExtent l="0" t="0" r="0" b="7620"/>
            <wp:docPr id="1" name="Рисунок 1" descr="управление профриска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управление профрисками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551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C86" w:rsidRPr="008B0C86" w:rsidRDefault="008B0C86" w:rsidP="008B0C86">
      <w:pPr>
        <w:numPr>
          <w:ilvl w:val="0"/>
          <w:numId w:val="5"/>
        </w:numPr>
        <w:shd w:val="clear" w:color="auto" w:fill="FFFFFF"/>
        <w:spacing w:before="60" w:after="60" w:line="360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Описать выявленные риски, выставив оценку вероятности его возникновения и ожидаемым последствиям.</w:t>
      </w:r>
    </w:p>
    <w:p w:rsidR="008B0C86" w:rsidRPr="008B0C86" w:rsidRDefault="008B0C86" w:rsidP="008B0C86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Каждый выявленный риск оцените, определив вероятность его возникновения и потенциальные последствия по шкале от меньшего к большему. Для оценки уровня </w:t>
      </w:r>
      <w:proofErr w:type="spellStart"/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профрисков</w:t>
      </w:r>
      <w:proofErr w:type="spellEnd"/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обычно применяют методики из ГОСТов или разрабатывают свои. Проводите оценку факторов риска </w:t>
      </w:r>
      <w:proofErr w:type="spellStart"/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комиссионно</w:t>
      </w:r>
      <w:proofErr w:type="spellEnd"/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, включив в комиссию инженера по ТБ и специалистов производственных отделов.</w:t>
      </w:r>
    </w:p>
    <w:p w:rsidR="008B0C86" w:rsidRPr="008B0C86" w:rsidRDefault="008B0C86" w:rsidP="008B0C86">
      <w:pPr>
        <w:numPr>
          <w:ilvl w:val="0"/>
          <w:numId w:val="6"/>
        </w:numPr>
        <w:shd w:val="clear" w:color="auto" w:fill="FFFFFF"/>
        <w:spacing w:before="60" w:after="60" w:line="360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Описать, какими мероприятиями можно снизить уровень риска.</w:t>
      </w:r>
    </w:p>
    <w:p w:rsidR="008B0C86" w:rsidRPr="008B0C86" w:rsidRDefault="008B0C86" w:rsidP="008B0C86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Здесь продумываются и записываются решения, которыми риски минимизируются или совсем исключаются.</w:t>
      </w:r>
    </w:p>
    <w:p w:rsidR="008B0C86" w:rsidRPr="008B0C86" w:rsidRDefault="008B0C86" w:rsidP="008B0C86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Оформить оценку рисков безопасности целесообразно в виде карты — как правило в ней описывается потенциальный риск для конкретной </w:t>
      </w:r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должности, его оценка и меры по снижению. Обычно карту рисков составляют в форме таблицы. В нее вносят следующую информацию:</w:t>
      </w:r>
    </w:p>
    <w:p w:rsidR="008B0C86" w:rsidRPr="008B0C86" w:rsidRDefault="008B0C86" w:rsidP="008B0C86">
      <w:pPr>
        <w:numPr>
          <w:ilvl w:val="0"/>
          <w:numId w:val="7"/>
        </w:numPr>
        <w:shd w:val="clear" w:color="auto" w:fill="FFFFFF"/>
        <w:spacing w:before="100" w:beforeAutospacing="1" w:after="120" w:line="360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должность;</w:t>
      </w:r>
    </w:p>
    <w:p w:rsidR="008B0C86" w:rsidRPr="008B0C86" w:rsidRDefault="008B0C86" w:rsidP="008B0C86">
      <w:pPr>
        <w:numPr>
          <w:ilvl w:val="0"/>
          <w:numId w:val="7"/>
        </w:numPr>
        <w:shd w:val="clear" w:color="auto" w:fill="FFFFFF"/>
        <w:spacing w:before="100" w:beforeAutospacing="1" w:after="120" w:line="360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рабочее место, на котором есть потенциальные опасности;</w:t>
      </w:r>
    </w:p>
    <w:p w:rsidR="008B0C86" w:rsidRPr="008B0C86" w:rsidRDefault="008B0C86" w:rsidP="008B0C86">
      <w:pPr>
        <w:numPr>
          <w:ilvl w:val="0"/>
          <w:numId w:val="7"/>
        </w:numPr>
        <w:shd w:val="clear" w:color="auto" w:fill="FFFFFF"/>
        <w:spacing w:before="100" w:beforeAutospacing="1" w:after="120" w:line="360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опасные факторы, источники опасности на данном рабочем месте;</w:t>
      </w:r>
    </w:p>
    <w:p w:rsidR="008B0C86" w:rsidRPr="008B0C86" w:rsidRDefault="008B0C86" w:rsidP="008B0C86">
      <w:pPr>
        <w:numPr>
          <w:ilvl w:val="0"/>
          <w:numId w:val="7"/>
        </w:numPr>
        <w:shd w:val="clear" w:color="auto" w:fill="FFFFFF"/>
        <w:spacing w:before="100" w:beforeAutospacing="1" w:after="120" w:line="360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уровень опасности (оценка риска) выявленных факторов;</w:t>
      </w:r>
    </w:p>
    <w:p w:rsidR="008B0C86" w:rsidRPr="008B0C86" w:rsidRDefault="008B0C86" w:rsidP="008B0C86">
      <w:pPr>
        <w:numPr>
          <w:ilvl w:val="0"/>
          <w:numId w:val="7"/>
        </w:numPr>
        <w:shd w:val="clear" w:color="auto" w:fill="FFFFFF"/>
        <w:spacing w:before="100" w:beforeAutospacing="1" w:after="120" w:line="360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какие меры предлагаются для уменьшения (управление) данных рисков.</w:t>
      </w:r>
    </w:p>
    <w:tbl>
      <w:tblPr>
        <w:tblW w:w="14496" w:type="dxa"/>
        <w:tblBorders>
          <w:left w:val="single" w:sz="24" w:space="0" w:color="EC1C24"/>
        </w:tblBorders>
        <w:shd w:val="clear" w:color="auto" w:fill="EDF0F3"/>
        <w:tblCellMar>
          <w:top w:w="240" w:type="dxa"/>
          <w:left w:w="240" w:type="dxa"/>
          <w:bottom w:w="240" w:type="dxa"/>
          <w:right w:w="240" w:type="dxa"/>
        </w:tblCellMar>
        <w:tblLook w:val="04A0" w:firstRow="1" w:lastRow="0" w:firstColumn="1" w:lastColumn="0" w:noHBand="0" w:noVBand="1"/>
      </w:tblPr>
      <w:tblGrid>
        <w:gridCol w:w="14496"/>
      </w:tblGrid>
      <w:tr w:rsidR="008B0C86" w:rsidRPr="008B0C86" w:rsidTr="008B0C86">
        <w:tc>
          <w:tcPr>
            <w:tcW w:w="14478" w:type="dxa"/>
            <w:shd w:val="clear" w:color="auto" w:fill="EDF0F3"/>
            <w:tcMar>
              <w:top w:w="300" w:type="dxa"/>
              <w:left w:w="300" w:type="dxa"/>
              <w:bottom w:w="300" w:type="dxa"/>
              <w:right w:w="300" w:type="dxa"/>
            </w:tcMar>
            <w:vAlign w:val="center"/>
            <w:hideMark/>
          </w:tcPr>
          <w:p w:rsidR="008B0C86" w:rsidRPr="008B0C86" w:rsidRDefault="008B0C86" w:rsidP="008B0C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8B0C86"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lang w:eastAsia="ru-RU"/>
              </w:rPr>
              <w:t>Важно</w:t>
            </w:r>
          </w:p>
          <w:p w:rsidR="008B0C86" w:rsidRPr="008B0C86" w:rsidRDefault="008B0C86" w:rsidP="008B0C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8B0C86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 </w:t>
            </w:r>
          </w:p>
          <w:p w:rsidR="008B0C86" w:rsidRPr="008B0C86" w:rsidRDefault="008B0C86" w:rsidP="008B0C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8B0C86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Нигде не написано об необходимости готовить еще и карту оценки рисков. Однако, есть обязанность работодателя разработать систему управления охраной труда (СУОТ) и выполнять запланированные мероприятия. Подп. «г» п. 8, п. 41 Типового положения, утв. приказом Минтруда от 19.08.2016 № 438н требует, чтобы в Положении о СУОТ было указано, как работодатель информирует работников о профессиональных рисках на их рабочих местах.</w:t>
            </w:r>
          </w:p>
        </w:tc>
      </w:tr>
    </w:tbl>
    <w:p w:rsidR="008B0C86" w:rsidRPr="008B0C86" w:rsidRDefault="008B0C86" w:rsidP="008B0C86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Доказательством ознакомления сотрудника будет его подпись на этом документе. Поэтому удобнее разработать типовую карту </w:t>
      </w:r>
      <w:proofErr w:type="spellStart"/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проф</w:t>
      </w:r>
      <w:proofErr w:type="spellEnd"/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рисков, заполнить ее по каждому рабочему месту отдельно и ознакомить работника с опасностями конкретно его рабочего места. Можно также разместить карты на рабочих местах. Это и будет система оценки рисков на предприятии.</w:t>
      </w:r>
    </w:p>
    <w:p w:rsidR="008B0C86" w:rsidRPr="008B0C86" w:rsidRDefault="008B0C86" w:rsidP="008B0C86">
      <w:pPr>
        <w:shd w:val="clear" w:color="auto" w:fill="FFFFFF"/>
        <w:spacing w:before="675" w:after="450" w:line="240" w:lineRule="auto"/>
        <w:outlineLvl w:val="1"/>
        <w:rPr>
          <w:rFonts w:ascii="Arial" w:eastAsia="Times New Roman" w:hAnsi="Arial" w:cs="Arial"/>
          <w:color w:val="222222"/>
          <w:sz w:val="53"/>
          <w:szCs w:val="53"/>
          <w:lang w:eastAsia="ru-RU"/>
        </w:rPr>
      </w:pPr>
      <w:bookmarkStart w:id="3" w:name="chem-rukovodstvovatsya-pri-provedenii-ot"/>
      <w:bookmarkEnd w:id="3"/>
      <w:r w:rsidRPr="008B0C86">
        <w:rPr>
          <w:rFonts w:ascii="Arial" w:eastAsia="Times New Roman" w:hAnsi="Arial" w:cs="Arial"/>
          <w:color w:val="222222"/>
          <w:sz w:val="53"/>
          <w:szCs w:val="53"/>
          <w:lang w:eastAsia="ru-RU"/>
        </w:rPr>
        <w:t>Чем руководствоваться при проведении оценки рисков</w:t>
      </w:r>
    </w:p>
    <w:p w:rsidR="008B0C86" w:rsidRPr="008B0C86" w:rsidRDefault="008B0C86" w:rsidP="008B0C86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На основании ст. 209 ТК порядок оценивания уровней </w:t>
      </w:r>
      <w:proofErr w:type="spellStart"/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профрисков</w:t>
      </w:r>
      <w:proofErr w:type="spellEnd"/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определяется федеральным органом власти в сфере труда, то есть Минтрудом. Однако, в </w:t>
      </w:r>
      <w:proofErr w:type="spellStart"/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пп</w:t>
      </w:r>
      <w:proofErr w:type="spellEnd"/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. «б» п.33 Типового положения говорится, что работодатель сам определяет порядок реализации оценки </w:t>
      </w:r>
      <w:proofErr w:type="spellStart"/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профрисков</w:t>
      </w:r>
      <w:proofErr w:type="spellEnd"/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.</w:t>
      </w:r>
    </w:p>
    <w:p w:rsidR="008B0C86" w:rsidRPr="008B0C86" w:rsidRDefault="008B0C86" w:rsidP="008B0C86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Можно посоветовать Госты:</w:t>
      </w:r>
    </w:p>
    <w:p w:rsidR="008B0C86" w:rsidRPr="008B0C86" w:rsidRDefault="008B0C86" w:rsidP="008B0C86">
      <w:pPr>
        <w:numPr>
          <w:ilvl w:val="0"/>
          <w:numId w:val="8"/>
        </w:numPr>
        <w:shd w:val="clear" w:color="auto" w:fill="FFFFFF"/>
        <w:spacing w:before="100" w:beforeAutospacing="1" w:after="180" w:line="360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hyperlink r:id="rId13" w:tgtFrame="_blank" w:history="1">
        <w:r w:rsidRPr="008B0C86">
          <w:rPr>
            <w:rFonts w:ascii="Arial" w:eastAsia="Times New Roman" w:hAnsi="Arial" w:cs="Arial"/>
            <w:color w:val="E03E2D"/>
            <w:sz w:val="27"/>
            <w:szCs w:val="27"/>
            <w:lang w:eastAsia="ru-RU"/>
          </w:rPr>
          <w:t>ГОСТ Р ИСО/МЭК 31010-2011</w:t>
        </w:r>
      </w:hyperlink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Документ недействующий, поэтому ссылаться не него в ЛНА было бы некорректно. Можно просто использовать некоторые методы, актуальные для вашей организации.</w:t>
      </w:r>
    </w:p>
    <w:p w:rsidR="008B0C86" w:rsidRPr="008B0C86" w:rsidRDefault="008B0C86" w:rsidP="008B0C86">
      <w:pPr>
        <w:numPr>
          <w:ilvl w:val="0"/>
          <w:numId w:val="8"/>
        </w:numPr>
        <w:shd w:val="clear" w:color="auto" w:fill="FFFFFF"/>
        <w:spacing w:before="100" w:beforeAutospacing="1" w:after="180" w:line="360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hyperlink r:id="rId14" w:tgtFrame="_blank" w:history="1">
        <w:r w:rsidRPr="008B0C86">
          <w:rPr>
            <w:rFonts w:ascii="Arial" w:eastAsia="Times New Roman" w:hAnsi="Arial" w:cs="Arial"/>
            <w:color w:val="E03E2D"/>
            <w:sz w:val="27"/>
            <w:szCs w:val="27"/>
            <w:lang w:eastAsia="ru-RU"/>
          </w:rPr>
          <w:t>ГОСТ Р 12.0.010-2009.</w:t>
        </w:r>
      </w:hyperlink>
    </w:p>
    <w:p w:rsidR="008B0C86" w:rsidRPr="008B0C86" w:rsidRDefault="008B0C86" w:rsidP="008B0C86">
      <w:pPr>
        <w:numPr>
          <w:ilvl w:val="0"/>
          <w:numId w:val="8"/>
        </w:numPr>
        <w:shd w:val="clear" w:color="auto" w:fill="FFFFFF"/>
        <w:spacing w:before="100" w:beforeAutospacing="1" w:after="180" w:line="360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hyperlink r:id="rId15" w:tgtFrame="_blank" w:history="1">
        <w:r w:rsidRPr="008B0C86">
          <w:rPr>
            <w:rFonts w:ascii="Arial" w:eastAsia="Times New Roman" w:hAnsi="Arial" w:cs="Arial"/>
            <w:color w:val="E03E2D"/>
            <w:sz w:val="27"/>
            <w:szCs w:val="27"/>
            <w:lang w:eastAsia="ru-RU"/>
          </w:rPr>
          <w:t>Р 2.2.1766-03.</w:t>
        </w:r>
      </w:hyperlink>
    </w:p>
    <w:p w:rsidR="008B0C86" w:rsidRPr="008B0C86" w:rsidRDefault="008B0C86" w:rsidP="008B0C86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Оценка профессиональных рисков — длительный и довольно сложный процесс. Здесь надо учитывать не только охрану труда, но и пожарную и промышленную безопасность, необходимо разбираться в разных технологических процессах и знать методологию оценки рисков. Поэтому целесообразно привлечь внешних экспертов или отправить членов комиссии на обучение.</w:t>
      </w:r>
    </w:p>
    <w:p w:rsidR="008B0C86" w:rsidRPr="008B0C86" w:rsidRDefault="008B0C86" w:rsidP="008B0C86">
      <w:pPr>
        <w:shd w:val="clear" w:color="auto" w:fill="FFFFFF"/>
        <w:spacing w:before="675" w:after="450" w:line="240" w:lineRule="auto"/>
        <w:outlineLvl w:val="1"/>
        <w:rPr>
          <w:rFonts w:ascii="Arial" w:eastAsia="Times New Roman" w:hAnsi="Arial" w:cs="Arial"/>
          <w:color w:val="222222"/>
          <w:sz w:val="53"/>
          <w:szCs w:val="53"/>
          <w:lang w:eastAsia="ru-RU"/>
        </w:rPr>
      </w:pPr>
      <w:bookmarkStart w:id="4" w:name="shtrafy-za-otsutstvie-otsenki-profession"/>
      <w:bookmarkEnd w:id="4"/>
      <w:r w:rsidRPr="008B0C86">
        <w:rPr>
          <w:rFonts w:ascii="Arial" w:eastAsia="Times New Roman" w:hAnsi="Arial" w:cs="Arial"/>
          <w:color w:val="222222"/>
          <w:sz w:val="53"/>
          <w:szCs w:val="53"/>
          <w:lang w:eastAsia="ru-RU"/>
        </w:rPr>
        <w:t>Штрафы за отсутствие оценки профессиональных рисков</w:t>
      </w:r>
    </w:p>
    <w:p w:rsidR="008B0C86" w:rsidRPr="008B0C86" w:rsidRDefault="008B0C86" w:rsidP="008B0C86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Работодатель может быть привлечен к административной ответственности на основании ч.1 ст. 5.27.1 КоАП РФ и оштрафован:</w:t>
      </w:r>
    </w:p>
    <w:p w:rsidR="008B0C86" w:rsidRPr="008B0C86" w:rsidRDefault="008B0C86" w:rsidP="008B0C86">
      <w:pPr>
        <w:numPr>
          <w:ilvl w:val="0"/>
          <w:numId w:val="9"/>
        </w:numPr>
        <w:shd w:val="clear" w:color="auto" w:fill="FFFFFF"/>
        <w:spacing w:before="100" w:beforeAutospacing="1" w:after="120" w:line="360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должностные лица – от 2000 до 5000 </w:t>
      </w:r>
      <w:proofErr w:type="spellStart"/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руб</w:t>
      </w:r>
      <w:proofErr w:type="spellEnd"/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;</w:t>
      </w:r>
    </w:p>
    <w:p w:rsidR="008B0C86" w:rsidRPr="008B0C86" w:rsidRDefault="008B0C86" w:rsidP="008B0C86">
      <w:pPr>
        <w:numPr>
          <w:ilvl w:val="0"/>
          <w:numId w:val="9"/>
        </w:numPr>
        <w:shd w:val="clear" w:color="auto" w:fill="FFFFFF"/>
        <w:spacing w:before="100" w:beforeAutospacing="1" w:after="120" w:line="360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ИП - от 2000 до 5000;</w:t>
      </w:r>
    </w:p>
    <w:p w:rsidR="008B0C86" w:rsidRPr="008B0C86" w:rsidRDefault="008B0C86" w:rsidP="008B0C86">
      <w:pPr>
        <w:numPr>
          <w:ilvl w:val="0"/>
          <w:numId w:val="9"/>
        </w:numPr>
        <w:shd w:val="clear" w:color="auto" w:fill="FFFFFF"/>
        <w:spacing w:before="100" w:beforeAutospacing="1" w:after="120" w:line="360" w:lineRule="atLeas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proofErr w:type="spellStart"/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юрлица</w:t>
      </w:r>
      <w:proofErr w:type="spellEnd"/>
      <w:r w:rsidRPr="008B0C8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– от 50000 до 80000 руб.</w:t>
      </w:r>
    </w:p>
    <w:p w:rsidR="008B0C86" w:rsidRPr="008B0C86" w:rsidRDefault="008B0C86" w:rsidP="008B0C86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8B0C86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Скачать </w:t>
      </w:r>
      <w:hyperlink r:id="rId16" w:tgtFrame="_blank" w:history="1">
        <w:r w:rsidRPr="008B0C86">
          <w:rPr>
            <w:rFonts w:ascii="Arial" w:eastAsia="Times New Roman" w:hAnsi="Arial" w:cs="Arial"/>
            <w:i/>
            <w:iCs/>
            <w:color w:val="E03E2D"/>
            <w:sz w:val="27"/>
            <w:szCs w:val="27"/>
            <w:lang w:eastAsia="ru-RU"/>
          </w:rPr>
          <w:t>Приказ Министерства труда и социальной защиты РФ от 19 августа 2016 г. N 438н «Об утверждении Типового положения о системе управления охраной труда».</w:t>
        </w:r>
      </w:hyperlink>
    </w:p>
    <w:p w:rsidR="008B0C86" w:rsidRPr="008B0C86" w:rsidRDefault="008B0C86" w:rsidP="008B0C86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8B0C86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Скачать примерные формы:</w:t>
      </w:r>
    </w:p>
    <w:p w:rsidR="008B0C86" w:rsidRPr="008B0C86" w:rsidRDefault="008B0C86" w:rsidP="008B0C86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hyperlink r:id="rId17" w:tgtFrame="_blank" w:history="1">
        <w:r w:rsidRPr="008B0C86">
          <w:rPr>
            <w:rFonts w:ascii="Arial" w:eastAsia="Times New Roman" w:hAnsi="Arial" w:cs="Arial"/>
            <w:color w:val="E03E2D"/>
            <w:sz w:val="27"/>
            <w:szCs w:val="27"/>
            <w:lang w:eastAsia="ru-RU"/>
          </w:rPr>
          <w:t>Карта рисков</w:t>
        </w:r>
      </w:hyperlink>
    </w:p>
    <w:p w:rsidR="008B0C86" w:rsidRPr="008B0C86" w:rsidRDefault="008B0C86" w:rsidP="008B0C86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hyperlink r:id="rId18" w:tgtFrame="_blank" w:history="1">
        <w:r w:rsidRPr="008B0C86">
          <w:rPr>
            <w:rFonts w:ascii="Arial" w:eastAsia="Times New Roman" w:hAnsi="Arial" w:cs="Arial"/>
            <w:color w:val="E03E2D"/>
            <w:sz w:val="27"/>
            <w:szCs w:val="27"/>
            <w:lang w:eastAsia="ru-RU"/>
          </w:rPr>
          <w:t>Реестр опасностей</w:t>
        </w:r>
      </w:hyperlink>
    </w:p>
    <w:p w:rsidR="008B0C86" w:rsidRPr="008B0C86" w:rsidRDefault="008B0C86" w:rsidP="008B0C86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8B0C86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Скачать Памятку </w:t>
      </w:r>
      <w:hyperlink r:id="rId19" w:tgtFrame="_blank" w:history="1">
        <w:r w:rsidRPr="008B0C86">
          <w:rPr>
            <w:rFonts w:ascii="Arial" w:eastAsia="Times New Roman" w:hAnsi="Arial" w:cs="Arial"/>
            <w:i/>
            <w:iCs/>
            <w:color w:val="E03E2D"/>
            <w:sz w:val="27"/>
            <w:szCs w:val="27"/>
            <w:lang w:eastAsia="ru-RU"/>
          </w:rPr>
          <w:t xml:space="preserve">Требования к оценке </w:t>
        </w:r>
        <w:proofErr w:type="spellStart"/>
        <w:r w:rsidRPr="008B0C86">
          <w:rPr>
            <w:rFonts w:ascii="Arial" w:eastAsia="Times New Roman" w:hAnsi="Arial" w:cs="Arial"/>
            <w:i/>
            <w:iCs/>
            <w:color w:val="E03E2D"/>
            <w:sz w:val="27"/>
            <w:szCs w:val="27"/>
            <w:lang w:eastAsia="ru-RU"/>
          </w:rPr>
          <w:t>профрисков</w:t>
        </w:r>
        <w:proofErr w:type="spellEnd"/>
        <w:r w:rsidRPr="008B0C86">
          <w:rPr>
            <w:rFonts w:ascii="Arial" w:eastAsia="Times New Roman" w:hAnsi="Arial" w:cs="Arial"/>
            <w:i/>
            <w:iCs/>
            <w:color w:val="E03E2D"/>
            <w:sz w:val="27"/>
            <w:szCs w:val="27"/>
            <w:lang w:eastAsia="ru-RU"/>
          </w:rPr>
          <w:t xml:space="preserve"> в правилах по охране труда в 2021 году</w:t>
        </w:r>
      </w:hyperlink>
    </w:p>
    <w:p w:rsidR="00C87DDF" w:rsidRPr="008F2DB4" w:rsidRDefault="00C87DDF">
      <w:pPr>
        <w:rPr>
          <w:lang w:val="en-US"/>
        </w:rPr>
      </w:pPr>
      <w:bookmarkStart w:id="5" w:name="_GoBack"/>
      <w:bookmarkEnd w:id="5"/>
    </w:p>
    <w:sectPr w:rsidR="00C87DDF" w:rsidRPr="008F2D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E36FC"/>
    <w:multiLevelType w:val="multilevel"/>
    <w:tmpl w:val="2E1AF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350114"/>
    <w:multiLevelType w:val="multilevel"/>
    <w:tmpl w:val="139ED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4C5EC0"/>
    <w:multiLevelType w:val="multilevel"/>
    <w:tmpl w:val="7B04C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9E52B70"/>
    <w:multiLevelType w:val="multilevel"/>
    <w:tmpl w:val="50007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C7B361D"/>
    <w:multiLevelType w:val="multilevel"/>
    <w:tmpl w:val="857E9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80C6761"/>
    <w:multiLevelType w:val="multilevel"/>
    <w:tmpl w:val="60E82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6C3851"/>
    <w:multiLevelType w:val="multilevel"/>
    <w:tmpl w:val="91BA0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58842E6"/>
    <w:multiLevelType w:val="multilevel"/>
    <w:tmpl w:val="479C8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B5D6DFE"/>
    <w:multiLevelType w:val="multilevel"/>
    <w:tmpl w:val="15608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0"/>
  </w:num>
  <w:num w:numId="5">
    <w:abstractNumId w:val="1"/>
  </w:num>
  <w:num w:numId="6">
    <w:abstractNumId w:val="7"/>
  </w:num>
  <w:num w:numId="7">
    <w:abstractNumId w:val="5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C86"/>
    <w:rsid w:val="008B0C86"/>
    <w:rsid w:val="008F2DB4"/>
    <w:rsid w:val="00C8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0CC586-F82C-4A45-9AD6-B4F26BEF4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B0C8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B0C8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8B0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B0C86"/>
    <w:rPr>
      <w:color w:val="0000FF"/>
      <w:u w:val="single"/>
    </w:rPr>
  </w:style>
  <w:style w:type="character" w:styleId="a5">
    <w:name w:val="Emphasis"/>
    <w:basedOn w:val="a0"/>
    <w:uiPriority w:val="20"/>
    <w:qFormat/>
    <w:rsid w:val="008B0C86"/>
    <w:rPr>
      <w:i/>
      <w:iCs/>
    </w:rPr>
  </w:style>
  <w:style w:type="character" w:styleId="a6">
    <w:name w:val="Strong"/>
    <w:basedOn w:val="a0"/>
    <w:uiPriority w:val="22"/>
    <w:qFormat/>
    <w:rsid w:val="008B0C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3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21204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14016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fkadrovik.ru/articles/working-conditions/ob-otsenke-profriskov-v-2021/" TargetMode="External"/><Relationship Id="rId13" Type="http://schemas.openxmlformats.org/officeDocument/2006/relationships/hyperlink" Target="https://profkadrovik.ru/upload/medialibrary/404/404fd738967ead67c31456a2313c2463.pdf" TargetMode="External"/><Relationship Id="rId18" Type="http://schemas.openxmlformats.org/officeDocument/2006/relationships/hyperlink" Target="https://b24-curpnl.bitrix24.site/crm_form1334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profkadrovik.ru/articles/working-conditions/ob-otsenke-profriskov-v-2021/" TargetMode="External"/><Relationship Id="rId12" Type="http://schemas.openxmlformats.org/officeDocument/2006/relationships/image" Target="media/image1.png"/><Relationship Id="rId17" Type="http://schemas.openxmlformats.org/officeDocument/2006/relationships/hyperlink" Target="https://b24-curpnl.bitrix24.site/crm_form1333/" TargetMode="External"/><Relationship Id="rId2" Type="http://schemas.openxmlformats.org/officeDocument/2006/relationships/styles" Target="styles.xml"/><Relationship Id="rId16" Type="http://schemas.openxmlformats.org/officeDocument/2006/relationships/hyperlink" Target="https://b24-curpnl.bitrix24.site/crm_form1332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rofkadrovik.ru/articles/working-conditions/ob-otsenke-profriskov-v-2021/" TargetMode="External"/><Relationship Id="rId11" Type="http://schemas.openxmlformats.org/officeDocument/2006/relationships/hyperlink" Target="https://profkadrovik.ru/articles/the-labour-code-of-the-russian-federation/article-22/" TargetMode="External"/><Relationship Id="rId5" Type="http://schemas.openxmlformats.org/officeDocument/2006/relationships/hyperlink" Target="https://profkadrovik.ru/articles/working-conditions/ob-otsenke-profriskov-v-2021/" TargetMode="External"/><Relationship Id="rId15" Type="http://schemas.openxmlformats.org/officeDocument/2006/relationships/hyperlink" Target="https://b24-curpnl.bitrix24.site/crm_form1331/" TargetMode="External"/><Relationship Id="rId10" Type="http://schemas.openxmlformats.org/officeDocument/2006/relationships/hyperlink" Target="https://b24-curpnl.bitrix24.site/crm_form1329/" TargetMode="External"/><Relationship Id="rId19" Type="http://schemas.openxmlformats.org/officeDocument/2006/relationships/hyperlink" Target="https://b24-curpnl.bitrix24.site/crm_form1335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ofkadrovik.ru/articles/working-conditions/ob-otsenke-profriskov-v-2021/" TargetMode="External"/><Relationship Id="rId14" Type="http://schemas.openxmlformats.org/officeDocument/2006/relationships/hyperlink" Target="https://b24-curpnl.bitrix24.site/crm_form133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6</Pages>
  <Words>1323</Words>
  <Characters>7547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1</cp:revision>
  <dcterms:created xsi:type="dcterms:W3CDTF">2021-09-16T09:05:00Z</dcterms:created>
  <dcterms:modified xsi:type="dcterms:W3CDTF">2021-09-16T12:18:00Z</dcterms:modified>
</cp:coreProperties>
</file>